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0A1" w:rsidRDefault="00DA70A1" w:rsidP="00DA70A1">
      <w:pPr>
        <w:jc w:val="center"/>
      </w:pPr>
    </w:p>
    <w:p w:rsidR="00DA70A1" w:rsidRDefault="00DA70A1" w:rsidP="00DA70A1">
      <w:pPr>
        <w:jc w:val="center"/>
      </w:pPr>
    </w:p>
    <w:p w:rsidR="00DA70A1" w:rsidRDefault="00DA70A1" w:rsidP="00DA70A1">
      <w:pPr>
        <w:jc w:val="center"/>
      </w:pPr>
    </w:p>
    <w:p w:rsidR="00DA70A1" w:rsidRDefault="00DA70A1" w:rsidP="00DA70A1">
      <w:pPr>
        <w:jc w:val="center"/>
      </w:pPr>
    </w:p>
    <w:p w:rsidR="00DA70A1" w:rsidRDefault="00DA70A1" w:rsidP="00DA70A1">
      <w:pPr>
        <w:jc w:val="center"/>
      </w:pPr>
    </w:p>
    <w:p w:rsidR="00DA70A1" w:rsidRDefault="00DA70A1" w:rsidP="00DA70A1">
      <w:pPr>
        <w:jc w:val="center"/>
      </w:pPr>
    </w:p>
    <w:p w:rsidR="00DA70A1" w:rsidRDefault="00DA70A1" w:rsidP="00DA70A1">
      <w:pPr>
        <w:jc w:val="center"/>
      </w:pPr>
    </w:p>
    <w:p w:rsidR="00DA70A1" w:rsidRDefault="00DA70A1" w:rsidP="00DA70A1">
      <w:pPr>
        <w:jc w:val="center"/>
      </w:pPr>
    </w:p>
    <w:p w:rsidR="00DA70A1" w:rsidRDefault="00DA70A1" w:rsidP="00DA70A1">
      <w:pPr>
        <w:jc w:val="center"/>
      </w:pPr>
    </w:p>
    <w:p w:rsidR="00DA70A1" w:rsidRDefault="00DA70A1" w:rsidP="00DA70A1">
      <w:pPr>
        <w:jc w:val="center"/>
      </w:pPr>
      <w:r w:rsidRPr="00DA70A1">
        <w:t>Human Genome Project</w:t>
      </w:r>
    </w:p>
    <w:p w:rsidR="00DA70A1" w:rsidRDefault="00DA70A1" w:rsidP="00DA70A1">
      <w:pPr>
        <w:jc w:val="center"/>
      </w:pPr>
      <w:r>
        <w:t>Name</w:t>
      </w:r>
    </w:p>
    <w:p w:rsidR="00DA70A1" w:rsidRDefault="00DA70A1" w:rsidP="00DA70A1">
      <w:pPr>
        <w:jc w:val="center"/>
      </w:pPr>
      <w:r>
        <w:t>Institution</w:t>
      </w:r>
    </w:p>
    <w:p w:rsidR="00DA70A1" w:rsidRDefault="00DA70A1" w:rsidP="00DA70A1">
      <w:pPr>
        <w:jc w:val="center"/>
      </w:pPr>
      <w:r>
        <w:t>Date</w:t>
      </w:r>
    </w:p>
    <w:p w:rsidR="00DA70A1" w:rsidRDefault="00DA70A1">
      <w:r>
        <w:br w:type="page"/>
      </w:r>
    </w:p>
    <w:p w:rsidR="00397C6E" w:rsidRPr="00DA70A1" w:rsidRDefault="00397C6E" w:rsidP="00346A33">
      <w:pPr>
        <w:jc w:val="center"/>
      </w:pPr>
      <w:r w:rsidRPr="00DA70A1">
        <w:lastRenderedPageBreak/>
        <w:t>Human Genome Project</w:t>
      </w:r>
    </w:p>
    <w:p w:rsidR="00DA70A1" w:rsidRPr="00DA70A1" w:rsidRDefault="00DA70A1" w:rsidP="0077530A">
      <w:pPr>
        <w:ind w:firstLine="720"/>
      </w:pPr>
      <w:r w:rsidRPr="00DA70A1">
        <w:t>Social work is a primary profession that aims at assisting people and families in dealing with their various problems in their lives (Green, Watson &amp; Collins,</w:t>
      </w:r>
      <w:r w:rsidR="0077530A">
        <w:t xml:space="preserve"> 2015). The exact work that </w:t>
      </w:r>
      <w:r w:rsidRPr="00DA70A1">
        <w:t>social workers perform depends on</w:t>
      </w:r>
      <w:bookmarkStart w:id="0" w:name="_GoBack"/>
      <w:bookmarkEnd w:id="0"/>
      <w:r w:rsidRPr="00DA70A1">
        <w:t xml:space="preserve"> the specific field. Social workers have improved the lives </w:t>
      </w:r>
      <w:r w:rsidR="0077530A">
        <w:t>and homes of their clients</w:t>
      </w:r>
      <w:r w:rsidRPr="00DA70A1">
        <w:t xml:space="preserve">. Majority of the clients who are handled by social workers are usually from lower socio-economic levels hence struggling from poverty, drugs abuse and homelessness. </w:t>
      </w:r>
    </w:p>
    <w:p w:rsidR="00DA70A1" w:rsidRPr="00DA70A1" w:rsidRDefault="00DA70A1" w:rsidP="0077530A">
      <w:pPr>
        <w:ind w:firstLine="720"/>
      </w:pPr>
      <w:r w:rsidRPr="00DA70A1">
        <w:t xml:space="preserve">Social workers are concerned with human biology </w:t>
      </w:r>
      <w:r w:rsidR="0077530A">
        <w:t xml:space="preserve">in order </w:t>
      </w:r>
      <w:r w:rsidRPr="00DA70A1">
        <w:t>to understand mental disorders such as addiction, trans</w:t>
      </w:r>
      <w:r w:rsidR="00E3130A">
        <w:t>-</w:t>
      </w:r>
      <w:r w:rsidRPr="00DA70A1">
        <w:t xml:space="preserve">genderism, and ADHD for complicated cases. Through this, social </w:t>
      </w:r>
      <w:r w:rsidR="0077530A">
        <w:t>workers can help the victims for they will have a better understand</w:t>
      </w:r>
      <w:r w:rsidRPr="00DA70A1">
        <w:t xml:space="preserve"> of the mental part</w:t>
      </w:r>
      <w:r w:rsidR="0077530A">
        <w:t xml:space="preserve"> of their clients</w:t>
      </w:r>
      <w:r w:rsidRPr="00DA70A1">
        <w:t>. Social workers are also concerned</w:t>
      </w:r>
      <w:r w:rsidR="002561F1">
        <w:t xml:space="preserve"> with human development</w:t>
      </w:r>
      <w:r w:rsidRPr="00DA70A1">
        <w:t xml:space="preserve"> to understand all the aspects that encompass the life of their clients (Hindorff et al., 2018). It is fundamental for social workers to understand the social and socio</w:t>
      </w:r>
      <w:r w:rsidR="00E3130A">
        <w:t>-</w:t>
      </w:r>
      <w:r w:rsidRPr="00DA70A1">
        <w:t xml:space="preserve">cultural life of their clients before they provide care and support. Also, social workers are concerned with human elect to understand the levels of thinking upon deciding the appropriate methods to help the victims. This is because the victims may have different intellectual capabilities which may call for specific strategies to help them. </w:t>
      </w:r>
    </w:p>
    <w:p w:rsidR="00DA70A1" w:rsidRPr="00DA70A1" w:rsidRDefault="00DA70A1" w:rsidP="002561F1">
      <w:pPr>
        <w:ind w:firstLine="720"/>
      </w:pPr>
      <w:r w:rsidRPr="00DA70A1">
        <w:t xml:space="preserve">Again, it is fundamental for social workers to be concerned about environmental influences. The environment influences have a significant impact on individuals who may be victims of poverty and homelessness among others. According to Lewis (2016), social workers attempt to help the victims to deal as well as to adjust living in it. They are </w:t>
      </w:r>
      <w:r w:rsidR="002561F1">
        <w:t xml:space="preserve">also </w:t>
      </w:r>
      <w:r w:rsidRPr="00DA70A1">
        <w:t xml:space="preserve">concerned with the evolution since it is concerned with heritable characteristics over the victims and the successive generations. Through this, they can understand the expression of genes during reproduction, hence initiating strategies to eliminate any possible threats. Social </w:t>
      </w:r>
      <w:r w:rsidRPr="00DA70A1">
        <w:lastRenderedPageBreak/>
        <w:t xml:space="preserve">workers are also concerned with heredity with an aim to understand the present generations and future generations of the victims. This enables them to understand the prevalence of specific conditions. </w:t>
      </w:r>
    </w:p>
    <w:p w:rsidR="00DA70A1" w:rsidRPr="00DA70A1" w:rsidRDefault="00DA70A1" w:rsidP="002561F1">
      <w:pPr>
        <w:ind w:firstLine="720"/>
      </w:pPr>
      <w:r w:rsidRPr="00DA70A1">
        <w:t xml:space="preserve">According to my opinion and desirability, the HGP should go forward in a public mode of research and information management. Since the Human Genome Project costs the taxpayers a lot of money, the public can reduce the payment burdens. Considering the HGM as a public mode of research and information will allow it to accumulate more funds (Jackson, 2016). As such, it will be in a position to enable industries such as biotechnology and drug development industries as well as </w:t>
      </w:r>
      <w:r w:rsidR="002561F1">
        <w:t xml:space="preserve">the improvement of human health to thrive. </w:t>
      </w:r>
    </w:p>
    <w:p w:rsidR="00DA70A1" w:rsidRPr="00DA70A1" w:rsidRDefault="002561F1" w:rsidP="002561F1">
      <w:pPr>
        <w:ind w:firstLine="720"/>
      </w:pPr>
      <w:r>
        <w:t>As hinted, s</w:t>
      </w:r>
      <w:r w:rsidR="00DA70A1" w:rsidRPr="00DA70A1">
        <w:t xml:space="preserve">ocial workers value the self-determination of individuals, the minimization of oppression and the potential of all persons. These values influence my opinion since they aim at improving the conditions of the public in general. Since the given functions are among the main goals of social workers, the lives of all people are significantly improved in all aspects around their lives (Hindorff et al., 2018). As such, considering the HGP as a public mode of research and information management may enable social workers to assist all persons effectively. </w:t>
      </w:r>
    </w:p>
    <w:p w:rsidR="00DA70A1" w:rsidRPr="00DA70A1" w:rsidRDefault="00DA70A1" w:rsidP="002561F1">
      <w:pPr>
        <w:ind w:firstLine="720"/>
      </w:pPr>
      <w:r w:rsidRPr="00DA70A1">
        <w:t xml:space="preserve">The public approach minimizes the potential ethical concerns inherent in the ability to map human attributes to specific areas of the human genome over the private path. This is because the public approach promotes privacy and professionalism. During the administration of care, privacy is a fundamental aspect especially for the patients seeking care. As hinted in this discussion, HGP is very keen since it promotes health conditions of the public thus improving their lives. According to Jackson (2016), the providence of care for patients should be characterized by privacy hence safeguarding the health conditions and details of the treatment of the patients. As such, the public approach tends to promote a sense </w:t>
      </w:r>
      <w:r w:rsidRPr="00DA70A1">
        <w:lastRenderedPageBreak/>
        <w:t>of openness thus allowing privacy to thrive. However, the private approach is not preferable because it may not encourage transparency since it is usually controlled by certain persons who may seek to promote their selfish motives.</w:t>
      </w:r>
    </w:p>
    <w:p w:rsidR="00DA70A1" w:rsidRPr="00DA70A1" w:rsidRDefault="00DA70A1" w:rsidP="002561F1">
      <w:pPr>
        <w:ind w:firstLine="720"/>
      </w:pPr>
      <w:r w:rsidRPr="00DA70A1">
        <w:t xml:space="preserve">One importance of the concerns, in my opinion, is genetic discrimination or oppression issues. These issues are fundamental to consider for they always affect the public upon the administration of care. According to Green et al. (2015), health should not be based on the aspects of discrimination and oppression issues since they violate the actual importance or goals of healthcare facilities. Regardless of the background, the status and ethnicity of the suffering persons, elements of discrimination and oppression should not be practiced. </w:t>
      </w:r>
    </w:p>
    <w:p w:rsidR="00DA70A1" w:rsidRPr="00DA70A1" w:rsidRDefault="00DA70A1" w:rsidP="002561F1">
      <w:pPr>
        <w:ind w:firstLine="720"/>
      </w:pPr>
      <w:r w:rsidRPr="00DA70A1">
        <w:t>Again, the public approach is fundamental to accommodate since it promotes equality in healthcare hence countering oppression issues. Another importance of the concerns, in my opinion, is confidentiality of information vs. access to information. Confidentiality is very vital as far as the admi</w:t>
      </w:r>
      <w:r w:rsidR="002561F1">
        <w:t>nistration of health and</w:t>
      </w:r>
      <w:r w:rsidRPr="00DA70A1">
        <w:t xml:space="preserve"> support, is concerned (Lewis, 2016). Patients and victims prefer that their communication is kept private away from parties who have ill motives. Legal procedures and informed consent should be considered before information for patients are shared. For that reason, embracing a public approach may differentiate the confidentiality of information and access to information. </w:t>
      </w:r>
    </w:p>
    <w:p w:rsidR="00DA70A1" w:rsidRPr="00DA70A1" w:rsidRDefault="00DA70A1" w:rsidP="00641DE4">
      <w:pPr>
        <w:ind w:firstLine="720"/>
      </w:pPr>
      <w:r w:rsidRPr="00DA70A1">
        <w:t xml:space="preserve">I see the information coming out of the HGP as vital to the continued existence of humanity. This is because it has considered incorporating </w:t>
      </w:r>
      <w:r w:rsidR="00641DE4">
        <w:t>interdisciplinary teams</w:t>
      </w:r>
      <w:r w:rsidRPr="00DA70A1">
        <w:t xml:space="preserve"> aimed at promoting the social life of human beings. Through the improvement of research on health aspects such as DNA and human genetics, the health of human beings has been improved hence continuing the existence of humanity (Hindorff et al., 2018). HGP has also produced multiple new tools as well as technologies that are used by he</w:t>
      </w:r>
      <w:r w:rsidR="00641DE4">
        <w:t>alth researchers and scientists</w:t>
      </w:r>
      <w:r w:rsidRPr="00DA70A1">
        <w:t xml:space="preserve"> to </w:t>
      </w:r>
      <w:r w:rsidRPr="00DA70A1">
        <w:lastRenderedPageBreak/>
        <w:t>conduct small scale research effectively, hence improving humanity. This research is beyond practical implementation in the lives of most persons. Poverty and elements of discrimination as well as oppression still affects the lives of people especially those who come from marginalized areas. These people lack direct access to health care. Thus they continue suffering. On the same note, the HGP research may not be applicable in the lives of these people (Lewis, 2016). In other words, this practical research is beyond practical implementation in the lives of most persons</w:t>
      </w:r>
      <w:r w:rsidR="00641DE4">
        <w:t xml:space="preserve"> since it is complex and costly</w:t>
      </w:r>
      <w:r w:rsidRPr="00DA70A1">
        <w:t>. Therefore, there should be the introduction of strategies that may reflect merely the complexity of the HGP for it to benefit the lives of most persons.</w:t>
      </w:r>
    </w:p>
    <w:p w:rsidR="008B7A55" w:rsidRDefault="008B7A55" w:rsidP="00DA70A1"/>
    <w:p w:rsidR="008B7A55" w:rsidRDefault="008B7A55" w:rsidP="00DA70A1"/>
    <w:p w:rsidR="008B7A55" w:rsidRDefault="008B7A55" w:rsidP="00DA70A1"/>
    <w:p w:rsidR="008B7A55" w:rsidRDefault="008B7A55" w:rsidP="00DA70A1"/>
    <w:p w:rsidR="008B7A55" w:rsidRDefault="008B7A55" w:rsidP="00DA70A1"/>
    <w:p w:rsidR="008B7A55" w:rsidRDefault="008B7A55" w:rsidP="00DA70A1"/>
    <w:p w:rsidR="008B7A55" w:rsidRDefault="008B7A55" w:rsidP="00DA70A1"/>
    <w:p w:rsidR="008B7A55" w:rsidRDefault="008B7A55" w:rsidP="00DA70A1"/>
    <w:p w:rsidR="008B7A55" w:rsidRDefault="008B7A55" w:rsidP="00DA70A1"/>
    <w:p w:rsidR="008B7A55" w:rsidRDefault="008B7A55" w:rsidP="00DA70A1"/>
    <w:p w:rsidR="008B7A55" w:rsidRDefault="008B7A55" w:rsidP="00DA70A1"/>
    <w:p w:rsidR="008B7A55" w:rsidRDefault="008B7A55" w:rsidP="00DA70A1"/>
    <w:p w:rsidR="00E3130A" w:rsidRDefault="00E3130A" w:rsidP="00DA70A1"/>
    <w:p w:rsidR="00AF79DB" w:rsidRPr="00DA70A1" w:rsidRDefault="00AF79DB" w:rsidP="008B7A55">
      <w:pPr>
        <w:jc w:val="center"/>
      </w:pPr>
      <w:r w:rsidRPr="00DA70A1">
        <w:lastRenderedPageBreak/>
        <w:t>References</w:t>
      </w:r>
    </w:p>
    <w:p w:rsidR="008B7A55" w:rsidRPr="00DA70A1" w:rsidRDefault="008B7A55" w:rsidP="008B7A55">
      <w:pPr>
        <w:ind w:left="720" w:hanging="720"/>
        <w:rPr>
          <w:color w:val="222222"/>
          <w:shd w:val="clear" w:color="auto" w:fill="FFFFFF"/>
        </w:rPr>
      </w:pPr>
      <w:r w:rsidRPr="00DA70A1">
        <w:rPr>
          <w:color w:val="222222"/>
          <w:shd w:val="clear" w:color="auto" w:fill="FFFFFF"/>
        </w:rPr>
        <w:t>Green, E. D., Watson, J. D., &amp; Collins, F. S. (2015). Human Genome Project: Twenty-five years of big biology. </w:t>
      </w:r>
      <w:r w:rsidRPr="00DA70A1">
        <w:rPr>
          <w:i/>
          <w:iCs/>
          <w:color w:val="222222"/>
          <w:shd w:val="clear" w:color="auto" w:fill="FFFFFF"/>
        </w:rPr>
        <w:t>Nature News</w:t>
      </w:r>
      <w:r w:rsidRPr="00DA70A1">
        <w:rPr>
          <w:color w:val="222222"/>
          <w:shd w:val="clear" w:color="auto" w:fill="FFFFFF"/>
        </w:rPr>
        <w:t>, </w:t>
      </w:r>
      <w:r w:rsidRPr="00DA70A1">
        <w:rPr>
          <w:i/>
          <w:iCs/>
          <w:color w:val="222222"/>
          <w:shd w:val="clear" w:color="auto" w:fill="FFFFFF"/>
        </w:rPr>
        <w:t>526</w:t>
      </w:r>
      <w:r w:rsidRPr="00DA70A1">
        <w:rPr>
          <w:color w:val="222222"/>
          <w:shd w:val="clear" w:color="auto" w:fill="FFFFFF"/>
        </w:rPr>
        <w:t>(7571), 29.</w:t>
      </w:r>
    </w:p>
    <w:p w:rsidR="008B7A55" w:rsidRPr="00DA70A1" w:rsidRDefault="008B7A55" w:rsidP="008B7A55">
      <w:pPr>
        <w:ind w:left="720" w:hanging="720"/>
        <w:rPr>
          <w:color w:val="222222"/>
          <w:shd w:val="clear" w:color="auto" w:fill="FFFFFF"/>
        </w:rPr>
      </w:pPr>
      <w:r w:rsidRPr="00DA70A1">
        <w:rPr>
          <w:color w:val="222222"/>
          <w:shd w:val="clear" w:color="auto" w:fill="FFFFFF"/>
        </w:rPr>
        <w:t>Hindorff, L. A., Bonham, V. L., Brody, L. C., Ginoza, M. E., Hutter, C. M., Manolio, T. A., &amp; Green, E. D. (2018). Prioritizing diversity in human genomics research. </w:t>
      </w:r>
      <w:r w:rsidRPr="00DA70A1">
        <w:rPr>
          <w:i/>
          <w:iCs/>
          <w:color w:val="222222"/>
          <w:shd w:val="clear" w:color="auto" w:fill="FFFFFF"/>
        </w:rPr>
        <w:t>Nature Reviews Genetics</w:t>
      </w:r>
      <w:r w:rsidRPr="00DA70A1">
        <w:rPr>
          <w:color w:val="222222"/>
          <w:shd w:val="clear" w:color="auto" w:fill="FFFFFF"/>
        </w:rPr>
        <w:t>, </w:t>
      </w:r>
      <w:r w:rsidRPr="00DA70A1">
        <w:rPr>
          <w:i/>
          <w:iCs/>
          <w:color w:val="222222"/>
          <w:shd w:val="clear" w:color="auto" w:fill="FFFFFF"/>
        </w:rPr>
        <w:t>19</w:t>
      </w:r>
      <w:r w:rsidRPr="00DA70A1">
        <w:rPr>
          <w:color w:val="222222"/>
          <w:shd w:val="clear" w:color="auto" w:fill="FFFFFF"/>
        </w:rPr>
        <w:t>(3), 175.</w:t>
      </w:r>
    </w:p>
    <w:p w:rsidR="008B7A55" w:rsidRPr="00DA70A1" w:rsidRDefault="008B7A55" w:rsidP="008B7A55">
      <w:pPr>
        <w:ind w:left="720" w:hanging="720"/>
      </w:pPr>
      <w:r w:rsidRPr="00DA70A1">
        <w:rPr>
          <w:color w:val="222222"/>
          <w:shd w:val="clear" w:color="auto" w:fill="FFFFFF"/>
        </w:rPr>
        <w:t>Jackson, F. (2016). African-American responses to the human genome project. </w:t>
      </w:r>
      <w:r w:rsidRPr="00DA70A1">
        <w:rPr>
          <w:i/>
          <w:iCs/>
          <w:color w:val="222222"/>
          <w:shd w:val="clear" w:color="auto" w:fill="FFFFFF"/>
        </w:rPr>
        <w:t>Public Understanding of Science</w:t>
      </w:r>
      <w:r w:rsidRPr="00DA70A1">
        <w:rPr>
          <w:color w:val="222222"/>
          <w:shd w:val="clear" w:color="auto" w:fill="FFFFFF"/>
        </w:rPr>
        <w:t>.</w:t>
      </w:r>
    </w:p>
    <w:p w:rsidR="008B7A55" w:rsidRPr="00DA70A1" w:rsidRDefault="008B7A55" w:rsidP="008B7A55">
      <w:pPr>
        <w:ind w:left="720" w:hanging="720"/>
        <w:rPr>
          <w:color w:val="222222"/>
          <w:shd w:val="clear" w:color="auto" w:fill="FFFFFF"/>
        </w:rPr>
      </w:pPr>
      <w:r w:rsidRPr="00DA70A1">
        <w:rPr>
          <w:color w:val="222222"/>
          <w:shd w:val="clear" w:color="auto" w:fill="FFFFFF"/>
        </w:rPr>
        <w:t>Lewis, R. (2016). </w:t>
      </w:r>
      <w:r w:rsidRPr="00DA70A1">
        <w:rPr>
          <w:i/>
          <w:iCs/>
          <w:color w:val="222222"/>
          <w:shd w:val="clear" w:color="auto" w:fill="FFFFFF"/>
        </w:rPr>
        <w:t>Human genetics: the basics</w:t>
      </w:r>
      <w:r w:rsidRPr="00DA70A1">
        <w:rPr>
          <w:color w:val="222222"/>
          <w:shd w:val="clear" w:color="auto" w:fill="FFFFFF"/>
        </w:rPr>
        <w:t>. Garland Science.</w:t>
      </w:r>
    </w:p>
    <w:sectPr w:rsidR="008B7A55" w:rsidRPr="00DA70A1" w:rsidSect="00DA70A1">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1ED4" w:rsidRDefault="00481ED4" w:rsidP="00DA70A1">
      <w:pPr>
        <w:spacing w:after="0" w:line="240" w:lineRule="auto"/>
      </w:pPr>
      <w:r>
        <w:separator/>
      </w:r>
    </w:p>
  </w:endnote>
  <w:endnote w:type="continuationSeparator" w:id="1">
    <w:p w:rsidR="00481ED4" w:rsidRDefault="00481ED4" w:rsidP="00DA70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1ED4" w:rsidRDefault="00481ED4" w:rsidP="00DA70A1">
      <w:pPr>
        <w:spacing w:after="0" w:line="240" w:lineRule="auto"/>
      </w:pPr>
      <w:r>
        <w:separator/>
      </w:r>
    </w:p>
  </w:footnote>
  <w:footnote w:type="continuationSeparator" w:id="1">
    <w:p w:rsidR="00481ED4" w:rsidRDefault="00481ED4" w:rsidP="00DA70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5179975"/>
      <w:docPartObj>
        <w:docPartGallery w:val="Page Numbers (Top of Page)"/>
        <w:docPartUnique/>
      </w:docPartObj>
    </w:sdtPr>
    <w:sdtEndPr>
      <w:rPr>
        <w:noProof/>
      </w:rPr>
    </w:sdtEndPr>
    <w:sdtContent>
      <w:p w:rsidR="00DA70A1" w:rsidRDefault="00DA70A1" w:rsidP="00DA70A1">
        <w:pPr>
          <w:pStyle w:val="Header"/>
          <w:spacing w:line="480" w:lineRule="auto"/>
        </w:pPr>
        <w:r w:rsidRPr="00DA70A1">
          <w:t>HUMAN GENOME PROJECT</w:t>
        </w:r>
        <w:r w:rsidR="00E3130A">
          <w:t xml:space="preserve">                                                                                                 </w:t>
        </w:r>
        <w:r w:rsidR="005A3844">
          <w:fldChar w:fldCharType="begin"/>
        </w:r>
        <w:r>
          <w:instrText xml:space="preserve"> PAGE   \* MERGEFORMAT </w:instrText>
        </w:r>
        <w:r w:rsidR="005A3844">
          <w:fldChar w:fldCharType="separate"/>
        </w:r>
        <w:r w:rsidR="00D91E98">
          <w:rPr>
            <w:noProof/>
          </w:rPr>
          <w:t>5</w:t>
        </w:r>
        <w:r w:rsidR="005A3844">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A1" w:rsidRDefault="00DA70A1" w:rsidP="00DA70A1">
    <w:pPr>
      <w:pStyle w:val="Header"/>
      <w:spacing w:line="480" w:lineRule="auto"/>
    </w:pPr>
    <w:r>
      <w:t xml:space="preserve">Running Head: </w:t>
    </w:r>
    <w:r w:rsidRPr="00DA70A1">
      <w:t>HUMAN GENOME PROJECT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03AC"/>
    <w:rsid w:val="00010CB1"/>
    <w:rsid w:val="00044B24"/>
    <w:rsid w:val="00060A1E"/>
    <w:rsid w:val="001524F1"/>
    <w:rsid w:val="00235C93"/>
    <w:rsid w:val="002561F1"/>
    <w:rsid w:val="002D6C80"/>
    <w:rsid w:val="00337FAB"/>
    <w:rsid w:val="00346A33"/>
    <w:rsid w:val="00360498"/>
    <w:rsid w:val="00361311"/>
    <w:rsid w:val="003824B2"/>
    <w:rsid w:val="00397C6E"/>
    <w:rsid w:val="003B67EB"/>
    <w:rsid w:val="003C3AAD"/>
    <w:rsid w:val="003D48BF"/>
    <w:rsid w:val="003D4A6F"/>
    <w:rsid w:val="0040744A"/>
    <w:rsid w:val="00410825"/>
    <w:rsid w:val="00481ED4"/>
    <w:rsid w:val="004B2C40"/>
    <w:rsid w:val="004C075B"/>
    <w:rsid w:val="00563ABB"/>
    <w:rsid w:val="005A3844"/>
    <w:rsid w:val="005D02BA"/>
    <w:rsid w:val="00641DE4"/>
    <w:rsid w:val="0064541B"/>
    <w:rsid w:val="0064577B"/>
    <w:rsid w:val="0066637D"/>
    <w:rsid w:val="00712489"/>
    <w:rsid w:val="00737342"/>
    <w:rsid w:val="0077530A"/>
    <w:rsid w:val="007C2F61"/>
    <w:rsid w:val="00807C33"/>
    <w:rsid w:val="008B41E0"/>
    <w:rsid w:val="008B7A55"/>
    <w:rsid w:val="009310FE"/>
    <w:rsid w:val="009A0D83"/>
    <w:rsid w:val="00A603AC"/>
    <w:rsid w:val="00A67F9A"/>
    <w:rsid w:val="00A903B1"/>
    <w:rsid w:val="00AA144F"/>
    <w:rsid w:val="00AA363D"/>
    <w:rsid w:val="00AD409D"/>
    <w:rsid w:val="00AF79DB"/>
    <w:rsid w:val="00B21D06"/>
    <w:rsid w:val="00B64C07"/>
    <w:rsid w:val="00B67EBE"/>
    <w:rsid w:val="00B82880"/>
    <w:rsid w:val="00B83D3A"/>
    <w:rsid w:val="00B9628E"/>
    <w:rsid w:val="00BA4D60"/>
    <w:rsid w:val="00BC4F89"/>
    <w:rsid w:val="00C02EB7"/>
    <w:rsid w:val="00C115DD"/>
    <w:rsid w:val="00CB1CC2"/>
    <w:rsid w:val="00D50DAC"/>
    <w:rsid w:val="00D91E98"/>
    <w:rsid w:val="00DA70A1"/>
    <w:rsid w:val="00E05222"/>
    <w:rsid w:val="00E3130A"/>
    <w:rsid w:val="00E4777A"/>
    <w:rsid w:val="00E86295"/>
    <w:rsid w:val="00ED1914"/>
    <w:rsid w:val="00ED6A0E"/>
    <w:rsid w:val="00F40DED"/>
    <w:rsid w:val="00F62C2A"/>
    <w:rsid w:val="00F82E6F"/>
    <w:rsid w:val="00FB089E"/>
    <w:rsid w:val="00FB65C6"/>
    <w:rsid w:val="00FF42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0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70A1"/>
  </w:style>
  <w:style w:type="paragraph" w:styleId="Footer">
    <w:name w:val="footer"/>
    <w:basedOn w:val="Normal"/>
    <w:link w:val="FooterChar"/>
    <w:uiPriority w:val="99"/>
    <w:unhideWhenUsed/>
    <w:rsid w:val="00DA70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70A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1094</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2019-03-16T20:34:00Z</dcterms:created>
  <dcterms:modified xsi:type="dcterms:W3CDTF">2019-03-16T20:34:00Z</dcterms:modified>
</cp:coreProperties>
</file>